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spacing w:val="-20"/>
          <w:kern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eastAsia="方正小标宋简体"/>
          <w:color w:val="000000"/>
          <w:kern w:val="0"/>
          <w:sz w:val="40"/>
          <w:szCs w:val="40"/>
        </w:rPr>
      </w:pPr>
    </w:p>
    <w:p>
      <w:pPr>
        <w:spacing w:line="520" w:lineRule="exact"/>
        <w:jc w:val="center"/>
        <w:rPr>
          <w:rFonts w:hint="eastAsia" w:eastAsia="方正小标宋简体"/>
          <w:color w:val="000000"/>
          <w:kern w:val="0"/>
          <w:sz w:val="40"/>
          <w:szCs w:val="40"/>
        </w:rPr>
      </w:pPr>
      <w:r>
        <w:rPr>
          <w:rFonts w:hint="eastAsia" w:eastAsia="方正小标宋简体"/>
          <w:color w:val="000000"/>
          <w:kern w:val="0"/>
          <w:sz w:val="40"/>
          <w:szCs w:val="40"/>
        </w:rPr>
        <w:t>2020年太仓市专业化青年人才定岗特选</w:t>
      </w:r>
    </w:p>
    <w:p>
      <w:pPr>
        <w:spacing w:line="52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  <w:r>
        <w:rPr>
          <w:rFonts w:eastAsia="方正小标宋简体"/>
          <w:color w:val="000000"/>
          <w:kern w:val="0"/>
          <w:sz w:val="40"/>
          <w:szCs w:val="40"/>
        </w:rPr>
        <w:t>专业类别及人数</w:t>
      </w:r>
    </w:p>
    <w:p>
      <w:pPr>
        <w:spacing w:line="520" w:lineRule="exact"/>
        <w:jc w:val="left"/>
        <w:rPr>
          <w:rFonts w:eastAsia="仿宋_GB2312"/>
          <w:spacing w:val="-20"/>
          <w:kern w:val="0"/>
          <w:sz w:val="32"/>
          <w:szCs w:val="32"/>
        </w:rPr>
      </w:pPr>
    </w:p>
    <w:tbl>
      <w:tblPr>
        <w:tblStyle w:val="3"/>
        <w:tblW w:w="91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3615"/>
        <w:gridCol w:w="1494"/>
        <w:gridCol w:w="1221"/>
        <w:gridCol w:w="16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岗</w:t>
            </w:r>
            <w:r>
              <w:rPr>
                <w:color w:val="000000"/>
                <w:kern w:val="0"/>
                <w:sz w:val="24"/>
                <w:lang w:bidi="ar"/>
              </w:rPr>
              <w:t>位代码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专业类别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选聘人数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开考比例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交通工程类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城建规划类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法律类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计算机（大类）类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财务财会类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经济类、统计类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公共管理类、工商管理类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中文文秘类、社会政治类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英语语言文学，英语口译，英语笔译，英语，商贸英语，英语翻译，经贸英语，外贸英语，商务英语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安全生产类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医药化工类、生物工程类、药学类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硕士</w:t>
            </w:r>
            <w:r>
              <w:rPr>
                <w:color w:val="000000"/>
                <w:kern w:val="0"/>
                <w:sz w:val="24"/>
                <w:lang w:bidi="ar"/>
              </w:rPr>
              <w:t>研究生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2:1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4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46</w:t>
            </w:r>
          </w:p>
        </w:tc>
      </w:tr>
    </w:tbl>
    <w:p>
      <w:pPr>
        <w:spacing w:line="420" w:lineRule="exact"/>
        <w:rPr>
          <w:color w:val="000000"/>
          <w:kern w:val="0"/>
          <w:sz w:val="24"/>
          <w:lang w:bidi="ar"/>
        </w:rPr>
      </w:pPr>
      <w:r>
        <w:rPr>
          <w:color w:val="000000"/>
          <w:kern w:val="0"/>
          <w:sz w:val="24"/>
          <w:lang w:bidi="ar"/>
        </w:rPr>
        <w:t>注：考生报考时，务必注明报考的</w:t>
      </w:r>
      <w:r>
        <w:rPr>
          <w:rFonts w:hint="eastAsia"/>
          <w:color w:val="000000"/>
          <w:kern w:val="0"/>
          <w:sz w:val="24"/>
          <w:lang w:bidi="ar"/>
        </w:rPr>
        <w:t>“</w:t>
      </w:r>
      <w:r>
        <w:rPr>
          <w:color w:val="000000"/>
          <w:kern w:val="0"/>
          <w:sz w:val="24"/>
          <w:lang w:bidi="ar"/>
        </w:rPr>
        <w:t>专业类别</w:t>
      </w:r>
      <w:r>
        <w:rPr>
          <w:rFonts w:hint="eastAsia"/>
          <w:color w:val="000000"/>
          <w:kern w:val="0"/>
          <w:sz w:val="24"/>
          <w:lang w:bidi="ar"/>
        </w:rPr>
        <w:t>”</w:t>
      </w:r>
      <w:r>
        <w:rPr>
          <w:color w:val="000000"/>
          <w:kern w:val="0"/>
          <w:sz w:val="24"/>
          <w:lang w:bidi="ar"/>
        </w:rPr>
        <w:t>和</w:t>
      </w:r>
      <w:r>
        <w:rPr>
          <w:rFonts w:hint="eastAsia"/>
          <w:color w:val="000000"/>
          <w:kern w:val="0"/>
          <w:sz w:val="24"/>
          <w:lang w:bidi="ar"/>
        </w:rPr>
        <w:t>“岗</w:t>
      </w:r>
      <w:r>
        <w:rPr>
          <w:color w:val="000000"/>
          <w:kern w:val="0"/>
          <w:sz w:val="24"/>
          <w:lang w:bidi="ar"/>
        </w:rPr>
        <w:t>位代码</w:t>
      </w:r>
      <w:r>
        <w:rPr>
          <w:rFonts w:hint="eastAsia"/>
          <w:color w:val="000000"/>
          <w:kern w:val="0"/>
          <w:sz w:val="24"/>
          <w:lang w:bidi="ar"/>
        </w:rPr>
        <w:t>”</w:t>
      </w:r>
      <w:r>
        <w:rPr>
          <w:color w:val="000000"/>
          <w:kern w:val="0"/>
          <w:sz w:val="24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2F"/>
    <w:rsid w:val="009D13FA"/>
    <w:rsid w:val="00A54651"/>
    <w:rsid w:val="00AB4675"/>
    <w:rsid w:val="00BD34FA"/>
    <w:rsid w:val="00CE122F"/>
    <w:rsid w:val="2332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6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2</TotalTime>
  <ScaleCrop>false</ScaleCrop>
  <LinksUpToDate>false</LinksUpToDate>
  <CharactersWithSpaces>456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2019-09-16T01:29:00Z</dcterms:created>
  <dc:creator>Info-WL</dc:creator>
  <cp:lastModifiedBy>钱多多雨过天晴</cp:lastModifiedBy>
  <dcterms:modified xsi:type="dcterms:W3CDTF">2019-10-06T02:03:42Z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